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7FA1" w14:textId="77777777" w:rsidR="0080560C" w:rsidRPr="0080560C" w:rsidRDefault="0080560C" w:rsidP="0080560C">
      <w:pPr>
        <w:shd w:val="clear" w:color="auto" w:fill="FFFFFF"/>
        <w:spacing w:before="150" w:line="240" w:lineRule="auto"/>
        <w:jc w:val="left"/>
        <w:outlineLvl w:val="0"/>
        <w:rPr>
          <w:rFonts w:ascii="Arial" w:eastAsia="Times New Roman" w:hAnsi="Arial" w:cs="Arial"/>
          <w:b/>
          <w:bCs/>
          <w:color w:val="026896"/>
          <w:kern w:val="36"/>
          <w:sz w:val="30"/>
          <w:szCs w:val="30"/>
          <w14:ligatures w14:val="none"/>
        </w:rPr>
      </w:pPr>
      <w:r w:rsidRPr="0080560C">
        <w:rPr>
          <w:rFonts w:ascii="Arial" w:eastAsia="Times New Roman" w:hAnsi="Arial" w:cs="Arial"/>
          <w:b/>
          <w:bCs/>
          <w:color w:val="026896"/>
          <w:kern w:val="36"/>
          <w:sz w:val="30"/>
          <w:szCs w:val="30"/>
          <w14:ligatures w14:val="none"/>
        </w:rPr>
        <w:t>Tổng hợp văn bản hướng dẫn Bộ luật Tố tụng dân sự 2015</w:t>
      </w:r>
    </w:p>
    <w:p w14:paraId="153D9C56" w14:textId="550EE364" w:rsidR="0080560C" w:rsidRPr="0080560C" w:rsidRDefault="0080560C" w:rsidP="0080560C">
      <w:pPr>
        <w:shd w:val="clear" w:color="auto" w:fill="FFFFFF"/>
        <w:spacing w:after="150" w:line="240" w:lineRule="auto"/>
        <w:jc w:val="center"/>
        <w:rPr>
          <w:rFonts w:ascii="Helvetica" w:eastAsia="Times New Roman" w:hAnsi="Helvetica" w:cs="Helvetica"/>
          <w:color w:val="333333"/>
          <w:kern w:val="0"/>
          <w:sz w:val="21"/>
          <w:szCs w:val="21"/>
          <w14:ligatures w14:val="none"/>
        </w:rPr>
      </w:pPr>
      <w:r w:rsidRPr="0080560C">
        <w:rPr>
          <w:rFonts w:ascii="Helvetica" w:eastAsia="Times New Roman" w:hAnsi="Helvetica" w:cs="Helvetica"/>
          <w:noProof/>
          <w:color w:val="333333"/>
          <w:kern w:val="0"/>
          <w:sz w:val="21"/>
          <w:szCs w:val="21"/>
          <w14:ligatures w14:val="none"/>
        </w:rPr>
        <w:drawing>
          <wp:inline distT="0" distB="0" distL="0" distR="0" wp14:anchorId="6DC8EACC" wp14:editId="44498F65">
            <wp:extent cx="5334000" cy="2769870"/>
            <wp:effectExtent l="0" t="0" r="0" b="0"/>
            <wp:docPr id="1277268389" name="Picture 3" descr="Tổng hợp văn bản hướng dẫn Bộ luật Tố tụng dân sự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ổng hợp văn bản hướng dẫn Bộ luật Tố tụng dân sự 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769870"/>
                    </a:xfrm>
                    <a:prstGeom prst="rect">
                      <a:avLst/>
                    </a:prstGeom>
                    <a:noFill/>
                    <a:ln>
                      <a:noFill/>
                    </a:ln>
                  </pic:spPr>
                </pic:pic>
              </a:graphicData>
            </a:graphic>
          </wp:inline>
        </w:drawing>
      </w:r>
    </w:p>
    <w:p w14:paraId="77A35958" w14:textId="77777777" w:rsidR="0080560C" w:rsidRPr="0080560C" w:rsidRDefault="0080560C" w:rsidP="0080560C">
      <w:pPr>
        <w:shd w:val="clear" w:color="auto" w:fill="FFFFFF"/>
        <w:spacing w:after="150" w:line="240" w:lineRule="auto"/>
        <w:jc w:val="center"/>
        <w:rPr>
          <w:rFonts w:ascii="Helvetica" w:eastAsia="Times New Roman" w:hAnsi="Helvetica" w:cs="Helvetica"/>
          <w:color w:val="333333"/>
          <w:kern w:val="0"/>
          <w:sz w:val="21"/>
          <w:szCs w:val="21"/>
          <w14:ligatures w14:val="none"/>
        </w:rPr>
      </w:pPr>
      <w:r w:rsidRPr="0080560C">
        <w:rPr>
          <w:rFonts w:ascii="Helvetica" w:eastAsia="Times New Roman" w:hAnsi="Helvetica" w:cs="Helvetica"/>
          <w:i/>
          <w:iCs/>
          <w:color w:val="333333"/>
          <w:kern w:val="0"/>
          <w:sz w:val="21"/>
          <w:szCs w:val="21"/>
          <w14:ligatures w14:val="none"/>
        </w:rPr>
        <w:t>Tổng hợp văn bản hướng dẫn Bộ luật Tố tụng dân sự 2015</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9"/>
        <w:gridCol w:w="5111"/>
        <w:gridCol w:w="1779"/>
      </w:tblGrid>
      <w:tr w:rsidR="0080560C" w:rsidRPr="0080560C" w14:paraId="4133E05A" w14:textId="77777777" w:rsidTr="0080560C">
        <w:tc>
          <w:tcPr>
            <w:tcW w:w="1980" w:type="dxa"/>
            <w:tcBorders>
              <w:top w:val="outset" w:sz="6" w:space="0" w:color="auto"/>
              <w:left w:val="outset" w:sz="6" w:space="0" w:color="auto"/>
              <w:bottom w:val="outset" w:sz="6" w:space="0" w:color="auto"/>
              <w:right w:val="outset" w:sz="6" w:space="0" w:color="auto"/>
            </w:tcBorders>
            <w:shd w:val="clear" w:color="auto" w:fill="FF6600"/>
            <w:vAlign w:val="center"/>
            <w:hideMark/>
          </w:tcPr>
          <w:p w14:paraId="50A77775" w14:textId="77777777" w:rsidR="0080560C" w:rsidRPr="0080560C" w:rsidRDefault="0080560C" w:rsidP="0080560C">
            <w:pPr>
              <w:spacing w:after="150" w:line="240" w:lineRule="auto"/>
              <w:jc w:val="center"/>
              <w:rPr>
                <w:rFonts w:eastAsia="Times New Roman" w:cs="Times New Roman"/>
                <w:kern w:val="0"/>
                <w:sz w:val="24"/>
                <w:szCs w:val="24"/>
                <w14:ligatures w14:val="none"/>
              </w:rPr>
            </w:pPr>
            <w:r w:rsidRPr="0080560C">
              <w:rPr>
                <w:rFonts w:eastAsia="Times New Roman" w:cs="Times New Roman"/>
                <w:b/>
                <w:bCs/>
                <w:color w:val="FFF0F5"/>
                <w:kern w:val="0"/>
                <w:sz w:val="24"/>
                <w:szCs w:val="24"/>
                <w14:ligatures w14:val="none"/>
              </w:rPr>
              <w:t>Số hiệu văn bản</w:t>
            </w:r>
          </w:p>
        </w:tc>
        <w:tc>
          <w:tcPr>
            <w:tcW w:w="5535" w:type="dxa"/>
            <w:tcBorders>
              <w:top w:val="outset" w:sz="6" w:space="0" w:color="auto"/>
              <w:left w:val="outset" w:sz="6" w:space="0" w:color="auto"/>
              <w:bottom w:val="outset" w:sz="6" w:space="0" w:color="auto"/>
              <w:right w:val="outset" w:sz="6" w:space="0" w:color="auto"/>
            </w:tcBorders>
            <w:shd w:val="clear" w:color="auto" w:fill="FF6600"/>
            <w:vAlign w:val="center"/>
            <w:hideMark/>
          </w:tcPr>
          <w:p w14:paraId="439EB253" w14:textId="77777777" w:rsidR="0080560C" w:rsidRPr="0080560C" w:rsidRDefault="0080560C" w:rsidP="0080560C">
            <w:pPr>
              <w:spacing w:after="150" w:line="240" w:lineRule="auto"/>
              <w:jc w:val="center"/>
              <w:rPr>
                <w:rFonts w:eastAsia="Times New Roman" w:cs="Times New Roman"/>
                <w:kern w:val="0"/>
                <w:sz w:val="24"/>
                <w:szCs w:val="24"/>
                <w14:ligatures w14:val="none"/>
              </w:rPr>
            </w:pPr>
            <w:r w:rsidRPr="0080560C">
              <w:rPr>
                <w:rFonts w:eastAsia="Times New Roman" w:cs="Times New Roman"/>
                <w:b/>
                <w:bCs/>
                <w:color w:val="FFF0F5"/>
                <w:kern w:val="0"/>
                <w:sz w:val="24"/>
                <w:szCs w:val="24"/>
                <w14:ligatures w14:val="none"/>
              </w:rPr>
              <w:t>Trích yếu nội dung</w:t>
            </w:r>
          </w:p>
        </w:tc>
        <w:tc>
          <w:tcPr>
            <w:tcW w:w="1845" w:type="dxa"/>
            <w:tcBorders>
              <w:top w:val="outset" w:sz="6" w:space="0" w:color="auto"/>
              <w:left w:val="outset" w:sz="6" w:space="0" w:color="auto"/>
              <w:bottom w:val="outset" w:sz="6" w:space="0" w:color="auto"/>
              <w:right w:val="outset" w:sz="6" w:space="0" w:color="auto"/>
            </w:tcBorders>
            <w:shd w:val="clear" w:color="auto" w:fill="FF6600"/>
            <w:vAlign w:val="center"/>
            <w:hideMark/>
          </w:tcPr>
          <w:p w14:paraId="3A2BE66E" w14:textId="77777777" w:rsidR="0080560C" w:rsidRPr="0080560C" w:rsidRDefault="0080560C" w:rsidP="0080560C">
            <w:pPr>
              <w:spacing w:after="150" w:line="240" w:lineRule="auto"/>
              <w:jc w:val="center"/>
              <w:rPr>
                <w:rFonts w:eastAsia="Times New Roman" w:cs="Times New Roman"/>
                <w:kern w:val="0"/>
                <w:sz w:val="24"/>
                <w:szCs w:val="24"/>
                <w14:ligatures w14:val="none"/>
              </w:rPr>
            </w:pPr>
            <w:r w:rsidRPr="0080560C">
              <w:rPr>
                <w:rFonts w:eastAsia="Times New Roman" w:cs="Times New Roman"/>
                <w:b/>
                <w:bCs/>
                <w:color w:val="FFF0F5"/>
                <w:kern w:val="0"/>
                <w:sz w:val="24"/>
                <w:szCs w:val="24"/>
                <w14:ligatures w14:val="none"/>
              </w:rPr>
              <w:t>Ngày có hiệu lực</w:t>
            </w:r>
          </w:p>
        </w:tc>
      </w:tr>
      <w:tr w:rsidR="0080560C" w:rsidRPr="0080560C" w14:paraId="2394F109" w14:textId="77777777" w:rsidTr="0080560C">
        <w:tc>
          <w:tcPr>
            <w:tcW w:w="1980" w:type="dxa"/>
            <w:tcBorders>
              <w:top w:val="outset" w:sz="6" w:space="0" w:color="auto"/>
              <w:left w:val="outset" w:sz="6" w:space="0" w:color="auto"/>
              <w:bottom w:val="outset" w:sz="6" w:space="0" w:color="auto"/>
              <w:right w:val="outset" w:sz="6" w:space="0" w:color="auto"/>
            </w:tcBorders>
            <w:vAlign w:val="center"/>
            <w:hideMark/>
          </w:tcPr>
          <w:p w14:paraId="7E32C717" w14:textId="77777777" w:rsidR="0080560C" w:rsidRPr="0080560C" w:rsidRDefault="0080560C" w:rsidP="0080560C">
            <w:pPr>
              <w:spacing w:after="150" w:line="240" w:lineRule="auto"/>
              <w:jc w:val="left"/>
              <w:rPr>
                <w:rFonts w:eastAsia="Times New Roman" w:cs="Times New Roman"/>
                <w:kern w:val="0"/>
                <w:sz w:val="24"/>
                <w:szCs w:val="24"/>
                <w14:ligatures w14:val="none"/>
              </w:rPr>
            </w:pPr>
            <w:r w:rsidRPr="0080560C">
              <w:rPr>
                <w:rFonts w:eastAsia="Times New Roman" w:cs="Times New Roman"/>
                <w:kern w:val="0"/>
                <w:sz w:val="24"/>
                <w:szCs w:val="24"/>
                <w14:ligatures w14:val="none"/>
              </w:rPr>
              <w:t>Nghị quyết </w:t>
            </w:r>
            <w:hyperlink r:id="rId6" w:tgtFrame="_blank" w:history="1">
              <w:r w:rsidRPr="0080560C">
                <w:rPr>
                  <w:rFonts w:eastAsia="Times New Roman" w:cs="Times New Roman"/>
                  <w:color w:val="337AB7"/>
                  <w:kern w:val="0"/>
                  <w:sz w:val="24"/>
                  <w:szCs w:val="24"/>
                  <w:u w:val="single"/>
                  <w14:ligatures w14:val="none"/>
                </w:rPr>
                <w:t>02/2020/NQ-HĐTP</w:t>
              </w:r>
            </w:hyperlink>
          </w:p>
        </w:tc>
        <w:tc>
          <w:tcPr>
            <w:tcW w:w="5535" w:type="dxa"/>
            <w:tcBorders>
              <w:top w:val="outset" w:sz="6" w:space="0" w:color="auto"/>
              <w:left w:val="outset" w:sz="6" w:space="0" w:color="auto"/>
              <w:bottom w:val="outset" w:sz="6" w:space="0" w:color="auto"/>
              <w:right w:val="outset" w:sz="6" w:space="0" w:color="auto"/>
            </w:tcBorders>
            <w:vAlign w:val="center"/>
            <w:hideMark/>
          </w:tcPr>
          <w:p w14:paraId="7D0CBADB" w14:textId="77777777" w:rsidR="0080560C" w:rsidRPr="0080560C" w:rsidRDefault="0080560C" w:rsidP="0080560C">
            <w:pPr>
              <w:spacing w:after="150" w:line="240" w:lineRule="auto"/>
              <w:jc w:val="left"/>
              <w:rPr>
                <w:rFonts w:eastAsia="Times New Roman" w:cs="Times New Roman"/>
                <w:kern w:val="0"/>
                <w:sz w:val="24"/>
                <w:szCs w:val="24"/>
                <w14:ligatures w14:val="none"/>
              </w:rPr>
            </w:pPr>
            <w:r w:rsidRPr="0080560C">
              <w:rPr>
                <w:rFonts w:eastAsia="Times New Roman" w:cs="Times New Roman"/>
                <w:kern w:val="0"/>
                <w:sz w:val="24"/>
                <w:szCs w:val="24"/>
                <w14:ligatures w14:val="none"/>
              </w:rPr>
              <w:t>Hướng dẫn áp dụng quy định về biện pháp khẩn cấp tạm thời của Bộ luật Tố tụng dân sự do Hội đồng Thẩm phán Tòa án nhân dân tối cao ban hành</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C696D59" w14:textId="77777777" w:rsidR="0080560C" w:rsidRPr="0080560C" w:rsidRDefault="0080560C" w:rsidP="0080560C">
            <w:pPr>
              <w:spacing w:after="150" w:line="240" w:lineRule="auto"/>
              <w:jc w:val="center"/>
              <w:rPr>
                <w:rFonts w:eastAsia="Times New Roman" w:cs="Times New Roman"/>
                <w:kern w:val="0"/>
                <w:sz w:val="24"/>
                <w:szCs w:val="24"/>
                <w14:ligatures w14:val="none"/>
              </w:rPr>
            </w:pPr>
            <w:r w:rsidRPr="0080560C">
              <w:rPr>
                <w:rFonts w:eastAsia="Times New Roman" w:cs="Times New Roman"/>
                <w:kern w:val="0"/>
                <w:sz w:val="24"/>
                <w:szCs w:val="24"/>
                <w14:ligatures w14:val="none"/>
              </w:rPr>
              <w:t>01/12/2020</w:t>
            </w:r>
          </w:p>
        </w:tc>
      </w:tr>
      <w:tr w:rsidR="0080560C" w:rsidRPr="0080560C" w14:paraId="2EC92021" w14:textId="77777777" w:rsidTr="0080560C">
        <w:tc>
          <w:tcPr>
            <w:tcW w:w="1980" w:type="dxa"/>
            <w:tcBorders>
              <w:top w:val="outset" w:sz="6" w:space="0" w:color="auto"/>
              <w:left w:val="outset" w:sz="6" w:space="0" w:color="auto"/>
              <w:bottom w:val="outset" w:sz="6" w:space="0" w:color="auto"/>
              <w:right w:val="outset" w:sz="6" w:space="0" w:color="auto"/>
            </w:tcBorders>
            <w:vAlign w:val="center"/>
            <w:hideMark/>
          </w:tcPr>
          <w:p w14:paraId="23EFA9EF" w14:textId="77777777" w:rsidR="0080560C" w:rsidRPr="0080560C" w:rsidRDefault="0080560C" w:rsidP="0080560C">
            <w:pPr>
              <w:spacing w:after="150" w:line="240" w:lineRule="auto"/>
              <w:jc w:val="left"/>
              <w:rPr>
                <w:rFonts w:eastAsia="Times New Roman" w:cs="Times New Roman"/>
                <w:kern w:val="0"/>
                <w:sz w:val="24"/>
                <w:szCs w:val="24"/>
                <w14:ligatures w14:val="none"/>
              </w:rPr>
            </w:pPr>
            <w:r w:rsidRPr="0080560C">
              <w:rPr>
                <w:rFonts w:eastAsia="Times New Roman" w:cs="Times New Roman"/>
                <w:kern w:val="0"/>
                <w:sz w:val="24"/>
                <w:szCs w:val="24"/>
                <w14:ligatures w14:val="none"/>
              </w:rPr>
              <w:t>Công văn </w:t>
            </w:r>
            <w:hyperlink r:id="rId7" w:tgtFrame="_blank" w:history="1">
              <w:r w:rsidRPr="0080560C">
                <w:rPr>
                  <w:rFonts w:eastAsia="Times New Roman" w:cs="Times New Roman"/>
                  <w:color w:val="337AB7"/>
                  <w:kern w:val="0"/>
                  <w:sz w:val="24"/>
                  <w:szCs w:val="24"/>
                  <w:u w:val="single"/>
                  <w14:ligatures w14:val="none"/>
                </w:rPr>
                <w:t>55/TANDTC-PC</w:t>
              </w:r>
            </w:hyperlink>
            <w:r w:rsidRPr="0080560C">
              <w:rPr>
                <w:rFonts w:eastAsia="Times New Roman" w:cs="Times New Roman"/>
                <w:kern w:val="0"/>
                <w:sz w:val="24"/>
                <w:szCs w:val="24"/>
                <w14:ligatures w14:val="none"/>
              </w:rPr>
              <w:t> năm 2018</w:t>
            </w:r>
          </w:p>
        </w:tc>
        <w:tc>
          <w:tcPr>
            <w:tcW w:w="5535" w:type="dxa"/>
            <w:tcBorders>
              <w:top w:val="outset" w:sz="6" w:space="0" w:color="auto"/>
              <w:left w:val="outset" w:sz="6" w:space="0" w:color="auto"/>
              <w:bottom w:val="outset" w:sz="6" w:space="0" w:color="auto"/>
              <w:right w:val="outset" w:sz="6" w:space="0" w:color="auto"/>
            </w:tcBorders>
            <w:vAlign w:val="center"/>
            <w:hideMark/>
          </w:tcPr>
          <w:p w14:paraId="3C56EA20" w14:textId="77777777" w:rsidR="0080560C" w:rsidRPr="0080560C" w:rsidRDefault="0080560C" w:rsidP="0080560C">
            <w:pPr>
              <w:spacing w:after="150" w:line="240" w:lineRule="auto"/>
              <w:jc w:val="left"/>
              <w:rPr>
                <w:rFonts w:eastAsia="Times New Roman" w:cs="Times New Roman"/>
                <w:kern w:val="0"/>
                <w:sz w:val="24"/>
                <w:szCs w:val="24"/>
                <w14:ligatures w14:val="none"/>
              </w:rPr>
            </w:pPr>
            <w:r w:rsidRPr="0080560C">
              <w:rPr>
                <w:rFonts w:eastAsia="Times New Roman" w:cs="Times New Roman"/>
                <w:kern w:val="0"/>
                <w:sz w:val="24"/>
                <w:szCs w:val="24"/>
                <w14:ligatures w14:val="none"/>
              </w:rPr>
              <w:t>Về tiêu chí xác định vụ việc hòa giải thành, đối thoại thành do Tòa án nhân dân tối cao ban hành</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D609F38" w14:textId="77777777" w:rsidR="0080560C" w:rsidRPr="0080560C" w:rsidRDefault="0080560C" w:rsidP="0080560C">
            <w:pPr>
              <w:spacing w:after="150" w:line="240" w:lineRule="auto"/>
              <w:jc w:val="center"/>
              <w:rPr>
                <w:rFonts w:eastAsia="Times New Roman" w:cs="Times New Roman"/>
                <w:kern w:val="0"/>
                <w:sz w:val="24"/>
                <w:szCs w:val="24"/>
                <w14:ligatures w14:val="none"/>
              </w:rPr>
            </w:pPr>
            <w:r w:rsidRPr="0080560C">
              <w:rPr>
                <w:rFonts w:eastAsia="Times New Roman" w:cs="Times New Roman"/>
                <w:kern w:val="0"/>
                <w:sz w:val="24"/>
                <w:szCs w:val="24"/>
                <w14:ligatures w14:val="none"/>
              </w:rPr>
              <w:t> </w:t>
            </w:r>
          </w:p>
        </w:tc>
      </w:tr>
      <w:tr w:rsidR="0080560C" w:rsidRPr="0080560C" w14:paraId="08C96236" w14:textId="77777777" w:rsidTr="0080560C">
        <w:tc>
          <w:tcPr>
            <w:tcW w:w="1980" w:type="dxa"/>
            <w:tcBorders>
              <w:top w:val="outset" w:sz="6" w:space="0" w:color="auto"/>
              <w:left w:val="outset" w:sz="6" w:space="0" w:color="auto"/>
              <w:bottom w:val="outset" w:sz="6" w:space="0" w:color="auto"/>
              <w:right w:val="outset" w:sz="6" w:space="0" w:color="auto"/>
            </w:tcBorders>
            <w:vAlign w:val="center"/>
            <w:hideMark/>
          </w:tcPr>
          <w:p w14:paraId="74E26455" w14:textId="77777777" w:rsidR="0080560C" w:rsidRPr="0080560C" w:rsidRDefault="0080560C" w:rsidP="0080560C">
            <w:pPr>
              <w:spacing w:after="150" w:line="240" w:lineRule="auto"/>
              <w:jc w:val="left"/>
              <w:rPr>
                <w:rFonts w:eastAsia="Times New Roman" w:cs="Times New Roman"/>
                <w:kern w:val="0"/>
                <w:sz w:val="24"/>
                <w:szCs w:val="24"/>
                <w14:ligatures w14:val="none"/>
              </w:rPr>
            </w:pPr>
            <w:r w:rsidRPr="0080560C">
              <w:rPr>
                <w:rFonts w:eastAsia="Times New Roman" w:cs="Times New Roman"/>
                <w:kern w:val="0"/>
                <w:sz w:val="24"/>
                <w:szCs w:val="24"/>
                <w14:ligatures w14:val="none"/>
              </w:rPr>
              <w:t>Công văn </w:t>
            </w:r>
            <w:hyperlink r:id="rId8" w:tgtFrame="_blank" w:history="1">
              <w:r w:rsidRPr="0080560C">
                <w:rPr>
                  <w:rFonts w:eastAsia="Times New Roman" w:cs="Times New Roman"/>
                  <w:color w:val="337AB7"/>
                  <w:kern w:val="0"/>
                  <w:sz w:val="24"/>
                  <w:szCs w:val="24"/>
                  <w:u w:val="single"/>
                  <w14:ligatures w14:val="none"/>
                </w:rPr>
                <w:t>152/TANDTC-PC</w:t>
              </w:r>
            </w:hyperlink>
            <w:r w:rsidRPr="0080560C">
              <w:rPr>
                <w:rFonts w:eastAsia="Times New Roman" w:cs="Times New Roman"/>
                <w:kern w:val="0"/>
                <w:sz w:val="24"/>
                <w:szCs w:val="24"/>
                <w14:ligatures w14:val="none"/>
              </w:rPr>
              <w:t> năm 2017</w:t>
            </w:r>
          </w:p>
        </w:tc>
        <w:tc>
          <w:tcPr>
            <w:tcW w:w="5535" w:type="dxa"/>
            <w:tcBorders>
              <w:top w:val="outset" w:sz="6" w:space="0" w:color="auto"/>
              <w:left w:val="outset" w:sz="6" w:space="0" w:color="auto"/>
              <w:bottom w:val="outset" w:sz="6" w:space="0" w:color="auto"/>
              <w:right w:val="outset" w:sz="6" w:space="0" w:color="auto"/>
            </w:tcBorders>
            <w:vAlign w:val="center"/>
            <w:hideMark/>
          </w:tcPr>
          <w:p w14:paraId="2C30029F" w14:textId="77777777" w:rsidR="0080560C" w:rsidRPr="0080560C" w:rsidRDefault="0080560C" w:rsidP="0080560C">
            <w:pPr>
              <w:spacing w:after="150" w:line="240" w:lineRule="auto"/>
              <w:jc w:val="left"/>
              <w:rPr>
                <w:rFonts w:eastAsia="Times New Roman" w:cs="Times New Roman"/>
                <w:kern w:val="0"/>
                <w:sz w:val="24"/>
                <w:szCs w:val="24"/>
                <w14:ligatures w14:val="none"/>
              </w:rPr>
            </w:pPr>
            <w:r w:rsidRPr="0080560C">
              <w:rPr>
                <w:rFonts w:eastAsia="Times New Roman" w:cs="Times New Roman"/>
                <w:kern w:val="0"/>
                <w:sz w:val="24"/>
                <w:szCs w:val="24"/>
                <w14:ligatures w14:val="none"/>
              </w:rPr>
              <w:t>Giải quyết tranh chấp hợp đồng tín dụng, xử lý nợ xấu do Tòa án nhân dân tối cao ban hành</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8E15D69" w14:textId="77777777" w:rsidR="0080560C" w:rsidRPr="0080560C" w:rsidRDefault="0080560C" w:rsidP="0080560C">
            <w:pPr>
              <w:spacing w:after="150" w:line="240" w:lineRule="auto"/>
              <w:jc w:val="center"/>
              <w:rPr>
                <w:rFonts w:eastAsia="Times New Roman" w:cs="Times New Roman"/>
                <w:kern w:val="0"/>
                <w:sz w:val="24"/>
                <w:szCs w:val="24"/>
                <w14:ligatures w14:val="none"/>
              </w:rPr>
            </w:pPr>
            <w:r w:rsidRPr="0080560C">
              <w:rPr>
                <w:rFonts w:eastAsia="Times New Roman" w:cs="Times New Roman"/>
                <w:kern w:val="0"/>
                <w:sz w:val="24"/>
                <w:szCs w:val="24"/>
                <w14:ligatures w14:val="none"/>
              </w:rPr>
              <w:t> </w:t>
            </w:r>
          </w:p>
        </w:tc>
      </w:tr>
      <w:tr w:rsidR="0080560C" w:rsidRPr="0080560C" w14:paraId="6C766B4C" w14:textId="77777777" w:rsidTr="0080560C">
        <w:tc>
          <w:tcPr>
            <w:tcW w:w="1980" w:type="dxa"/>
            <w:tcBorders>
              <w:top w:val="outset" w:sz="6" w:space="0" w:color="auto"/>
              <w:left w:val="outset" w:sz="6" w:space="0" w:color="auto"/>
              <w:bottom w:val="outset" w:sz="6" w:space="0" w:color="auto"/>
              <w:right w:val="outset" w:sz="6" w:space="0" w:color="auto"/>
            </w:tcBorders>
            <w:vAlign w:val="center"/>
            <w:hideMark/>
          </w:tcPr>
          <w:p w14:paraId="30C955A9" w14:textId="77777777" w:rsidR="0080560C" w:rsidRPr="0080560C" w:rsidRDefault="0080560C" w:rsidP="0080560C">
            <w:pPr>
              <w:spacing w:after="150" w:line="240" w:lineRule="auto"/>
              <w:jc w:val="left"/>
              <w:rPr>
                <w:rFonts w:eastAsia="Times New Roman" w:cs="Times New Roman"/>
                <w:kern w:val="0"/>
                <w:sz w:val="24"/>
                <w:szCs w:val="24"/>
                <w14:ligatures w14:val="none"/>
              </w:rPr>
            </w:pPr>
            <w:r w:rsidRPr="0080560C">
              <w:rPr>
                <w:rFonts w:eastAsia="Times New Roman" w:cs="Times New Roman"/>
                <w:kern w:val="0"/>
                <w:sz w:val="24"/>
                <w:szCs w:val="24"/>
                <w14:ligatures w14:val="none"/>
              </w:rPr>
              <w:t>Nghị quyết </w:t>
            </w:r>
            <w:hyperlink r:id="rId9" w:tgtFrame="_blank" w:history="1">
              <w:r w:rsidRPr="0080560C">
                <w:rPr>
                  <w:rFonts w:eastAsia="Times New Roman" w:cs="Times New Roman"/>
                  <w:color w:val="337AB7"/>
                  <w:kern w:val="0"/>
                  <w:sz w:val="24"/>
                  <w:szCs w:val="24"/>
                  <w:u w:val="single"/>
                  <w14:ligatures w14:val="none"/>
                </w:rPr>
                <w:t>04/2017/NQ-HĐTP</w:t>
              </w:r>
            </w:hyperlink>
          </w:p>
        </w:tc>
        <w:tc>
          <w:tcPr>
            <w:tcW w:w="5535" w:type="dxa"/>
            <w:tcBorders>
              <w:top w:val="outset" w:sz="6" w:space="0" w:color="auto"/>
              <w:left w:val="outset" w:sz="6" w:space="0" w:color="auto"/>
              <w:bottom w:val="outset" w:sz="6" w:space="0" w:color="auto"/>
              <w:right w:val="outset" w:sz="6" w:space="0" w:color="auto"/>
            </w:tcBorders>
            <w:vAlign w:val="center"/>
            <w:hideMark/>
          </w:tcPr>
          <w:p w14:paraId="36E7F608" w14:textId="77777777" w:rsidR="0080560C" w:rsidRPr="0080560C" w:rsidRDefault="0080560C" w:rsidP="0080560C">
            <w:pPr>
              <w:spacing w:after="150" w:line="240" w:lineRule="auto"/>
              <w:jc w:val="left"/>
              <w:rPr>
                <w:rFonts w:eastAsia="Times New Roman" w:cs="Times New Roman"/>
                <w:kern w:val="0"/>
                <w:sz w:val="24"/>
                <w:szCs w:val="24"/>
                <w14:ligatures w14:val="none"/>
              </w:rPr>
            </w:pPr>
            <w:r w:rsidRPr="0080560C">
              <w:rPr>
                <w:rFonts w:eastAsia="Times New Roman" w:cs="Times New Roman"/>
                <w:kern w:val="0"/>
                <w:sz w:val="24"/>
                <w:szCs w:val="24"/>
                <w14:ligatures w14:val="none"/>
              </w:rPr>
              <w:t>Hướng dẫn quy định tại khoản 1 và khoản 3 Điều 192 </w:t>
            </w:r>
            <w:hyperlink r:id="rId10" w:tgtFrame="_blank" w:history="1">
              <w:r w:rsidRPr="0080560C">
                <w:rPr>
                  <w:rFonts w:eastAsia="Times New Roman" w:cs="Times New Roman"/>
                  <w:color w:val="337AB7"/>
                  <w:kern w:val="0"/>
                  <w:sz w:val="24"/>
                  <w:szCs w:val="24"/>
                  <w:u w:val="single"/>
                  <w14:ligatures w14:val="none"/>
                </w:rPr>
                <w:t>Bộ luật tố tụng dân sự</w:t>
              </w:r>
            </w:hyperlink>
            <w:r w:rsidRPr="0080560C">
              <w:rPr>
                <w:rFonts w:eastAsia="Times New Roman" w:cs="Times New Roman"/>
                <w:kern w:val="0"/>
                <w:sz w:val="24"/>
                <w:szCs w:val="24"/>
                <w14:ligatures w14:val="none"/>
              </w:rPr>
              <w:t> về trả lại đơn khởi kiện, quyền nộp đơn khởi kiện lại vụ án do Hội đồng Thẩm phán Tòa án nhân dân tối cao ban hành</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BD66F3D" w14:textId="77777777" w:rsidR="0080560C" w:rsidRPr="0080560C" w:rsidRDefault="0080560C" w:rsidP="0080560C">
            <w:pPr>
              <w:spacing w:after="150" w:line="240" w:lineRule="auto"/>
              <w:jc w:val="center"/>
              <w:rPr>
                <w:rFonts w:eastAsia="Times New Roman" w:cs="Times New Roman"/>
                <w:kern w:val="0"/>
                <w:sz w:val="24"/>
                <w:szCs w:val="24"/>
                <w14:ligatures w14:val="none"/>
              </w:rPr>
            </w:pPr>
            <w:r w:rsidRPr="0080560C">
              <w:rPr>
                <w:rFonts w:eastAsia="Times New Roman" w:cs="Times New Roman"/>
                <w:kern w:val="0"/>
                <w:sz w:val="24"/>
                <w:szCs w:val="24"/>
                <w14:ligatures w14:val="none"/>
              </w:rPr>
              <w:t>01/7/2017</w:t>
            </w:r>
          </w:p>
        </w:tc>
      </w:tr>
      <w:tr w:rsidR="0080560C" w:rsidRPr="0080560C" w14:paraId="72E9C4A9" w14:textId="77777777" w:rsidTr="0080560C">
        <w:tc>
          <w:tcPr>
            <w:tcW w:w="1980" w:type="dxa"/>
            <w:tcBorders>
              <w:top w:val="outset" w:sz="6" w:space="0" w:color="auto"/>
              <w:left w:val="outset" w:sz="6" w:space="0" w:color="auto"/>
              <w:bottom w:val="outset" w:sz="6" w:space="0" w:color="auto"/>
              <w:right w:val="outset" w:sz="6" w:space="0" w:color="auto"/>
            </w:tcBorders>
            <w:vAlign w:val="center"/>
            <w:hideMark/>
          </w:tcPr>
          <w:p w14:paraId="15FF316E" w14:textId="77777777" w:rsidR="0080560C" w:rsidRPr="0080560C" w:rsidRDefault="0080560C" w:rsidP="0080560C">
            <w:pPr>
              <w:spacing w:after="150" w:line="240" w:lineRule="auto"/>
              <w:jc w:val="left"/>
              <w:rPr>
                <w:rFonts w:eastAsia="Times New Roman" w:cs="Times New Roman"/>
                <w:kern w:val="0"/>
                <w:sz w:val="24"/>
                <w:szCs w:val="24"/>
                <w14:ligatures w14:val="none"/>
              </w:rPr>
            </w:pPr>
            <w:r w:rsidRPr="0080560C">
              <w:rPr>
                <w:rFonts w:eastAsia="Times New Roman" w:cs="Times New Roman"/>
                <w:kern w:val="0"/>
                <w:sz w:val="24"/>
                <w:szCs w:val="24"/>
                <w14:ligatures w14:val="none"/>
              </w:rPr>
              <w:t>Nghị quyết </w:t>
            </w:r>
            <w:hyperlink r:id="rId11" w:tgtFrame="_blank" w:history="1">
              <w:r w:rsidRPr="0080560C">
                <w:rPr>
                  <w:rFonts w:eastAsia="Times New Roman" w:cs="Times New Roman"/>
                  <w:color w:val="337AB7"/>
                  <w:kern w:val="0"/>
                  <w:sz w:val="24"/>
                  <w:szCs w:val="24"/>
                  <w:u w:val="single"/>
                  <w14:ligatures w14:val="none"/>
                </w:rPr>
                <w:t>04/2016/NQ-HĐTP</w:t>
              </w:r>
            </w:hyperlink>
          </w:p>
        </w:tc>
        <w:tc>
          <w:tcPr>
            <w:tcW w:w="5535" w:type="dxa"/>
            <w:tcBorders>
              <w:top w:val="outset" w:sz="6" w:space="0" w:color="auto"/>
              <w:left w:val="outset" w:sz="6" w:space="0" w:color="auto"/>
              <w:bottom w:val="outset" w:sz="6" w:space="0" w:color="auto"/>
              <w:right w:val="outset" w:sz="6" w:space="0" w:color="auto"/>
            </w:tcBorders>
            <w:vAlign w:val="center"/>
            <w:hideMark/>
          </w:tcPr>
          <w:p w14:paraId="7A18154F" w14:textId="77777777" w:rsidR="0080560C" w:rsidRPr="0080560C" w:rsidRDefault="0080560C" w:rsidP="0080560C">
            <w:pPr>
              <w:spacing w:after="150" w:line="240" w:lineRule="auto"/>
              <w:jc w:val="left"/>
              <w:rPr>
                <w:rFonts w:eastAsia="Times New Roman" w:cs="Times New Roman"/>
                <w:kern w:val="0"/>
                <w:sz w:val="24"/>
                <w:szCs w:val="24"/>
                <w14:ligatures w14:val="none"/>
              </w:rPr>
            </w:pPr>
            <w:r w:rsidRPr="0080560C">
              <w:rPr>
                <w:rFonts w:eastAsia="Times New Roman" w:cs="Times New Roman"/>
                <w:kern w:val="0"/>
                <w:sz w:val="24"/>
                <w:szCs w:val="24"/>
                <w14:ligatures w14:val="none"/>
              </w:rPr>
              <w:t>Hướng dẫn quy định của </w:t>
            </w:r>
            <w:hyperlink r:id="rId12" w:tgtFrame="_blank" w:history="1">
              <w:r w:rsidRPr="0080560C">
                <w:rPr>
                  <w:rFonts w:eastAsia="Times New Roman" w:cs="Times New Roman"/>
                  <w:color w:val="337AB7"/>
                  <w:kern w:val="0"/>
                  <w:sz w:val="24"/>
                  <w:szCs w:val="24"/>
                  <w:u w:val="single"/>
                  <w14:ligatures w14:val="none"/>
                </w:rPr>
                <w:t>Bộ luật tố tụng dân sự</w:t>
              </w:r>
            </w:hyperlink>
            <w:r w:rsidRPr="0080560C">
              <w:rPr>
                <w:rFonts w:eastAsia="Times New Roman" w:cs="Times New Roman"/>
                <w:kern w:val="0"/>
                <w:sz w:val="24"/>
                <w:szCs w:val="24"/>
                <w14:ligatures w14:val="none"/>
              </w:rPr>
              <w:t>, </w:t>
            </w:r>
            <w:hyperlink r:id="rId13" w:tgtFrame="_blank" w:history="1">
              <w:r w:rsidRPr="0080560C">
                <w:rPr>
                  <w:rFonts w:eastAsia="Times New Roman" w:cs="Times New Roman"/>
                  <w:color w:val="337AB7"/>
                  <w:kern w:val="0"/>
                  <w:sz w:val="24"/>
                  <w:szCs w:val="24"/>
                  <w:u w:val="single"/>
                  <w14:ligatures w14:val="none"/>
                </w:rPr>
                <w:t>Luật tố tụng hành chính</w:t>
              </w:r>
            </w:hyperlink>
            <w:r w:rsidRPr="0080560C">
              <w:rPr>
                <w:rFonts w:eastAsia="Times New Roman" w:cs="Times New Roman"/>
                <w:kern w:val="0"/>
                <w:sz w:val="24"/>
                <w:szCs w:val="24"/>
                <w14:ligatures w14:val="none"/>
              </w:rPr>
              <w:t> về gửi, nhận đơn khởi kiện, tài liệu, chứng cứ và cấp, tống đạt, thông báo văn bản tố tụng bằng phương tiện điện tử do Hội đồng Thẩm phán Tòa án nhân dân tối cao ban hành</w:t>
            </w:r>
          </w:p>
        </w:tc>
        <w:tc>
          <w:tcPr>
            <w:tcW w:w="1845" w:type="dxa"/>
            <w:tcBorders>
              <w:top w:val="outset" w:sz="6" w:space="0" w:color="auto"/>
              <w:left w:val="outset" w:sz="6" w:space="0" w:color="auto"/>
              <w:bottom w:val="outset" w:sz="6" w:space="0" w:color="auto"/>
              <w:right w:val="outset" w:sz="6" w:space="0" w:color="auto"/>
            </w:tcBorders>
            <w:vAlign w:val="center"/>
            <w:hideMark/>
          </w:tcPr>
          <w:p w14:paraId="08F67B6D" w14:textId="77777777" w:rsidR="0080560C" w:rsidRPr="0080560C" w:rsidRDefault="0080560C" w:rsidP="0080560C">
            <w:pPr>
              <w:spacing w:after="150" w:line="240" w:lineRule="auto"/>
              <w:jc w:val="center"/>
              <w:rPr>
                <w:rFonts w:eastAsia="Times New Roman" w:cs="Times New Roman"/>
                <w:kern w:val="0"/>
                <w:sz w:val="24"/>
                <w:szCs w:val="24"/>
                <w14:ligatures w14:val="none"/>
              </w:rPr>
            </w:pPr>
            <w:r w:rsidRPr="0080560C">
              <w:rPr>
                <w:rFonts w:eastAsia="Times New Roman" w:cs="Times New Roman"/>
                <w:kern w:val="0"/>
                <w:sz w:val="24"/>
                <w:szCs w:val="24"/>
                <w14:ligatures w14:val="none"/>
              </w:rPr>
              <w:t>15/02/2017</w:t>
            </w:r>
          </w:p>
        </w:tc>
      </w:tr>
      <w:tr w:rsidR="0080560C" w:rsidRPr="0080560C" w14:paraId="042D64FC" w14:textId="77777777" w:rsidTr="0080560C">
        <w:tc>
          <w:tcPr>
            <w:tcW w:w="1980" w:type="dxa"/>
            <w:tcBorders>
              <w:top w:val="outset" w:sz="6" w:space="0" w:color="auto"/>
              <w:left w:val="outset" w:sz="6" w:space="0" w:color="auto"/>
              <w:bottom w:val="outset" w:sz="6" w:space="0" w:color="auto"/>
              <w:right w:val="outset" w:sz="6" w:space="0" w:color="auto"/>
            </w:tcBorders>
            <w:vAlign w:val="center"/>
            <w:hideMark/>
          </w:tcPr>
          <w:p w14:paraId="0D2A6CDA" w14:textId="77777777" w:rsidR="0080560C" w:rsidRPr="0080560C" w:rsidRDefault="0080560C" w:rsidP="0080560C">
            <w:pPr>
              <w:spacing w:after="150" w:line="240" w:lineRule="auto"/>
              <w:jc w:val="left"/>
              <w:rPr>
                <w:rFonts w:eastAsia="Times New Roman" w:cs="Times New Roman"/>
                <w:kern w:val="0"/>
                <w:sz w:val="24"/>
                <w:szCs w:val="24"/>
                <w14:ligatures w14:val="none"/>
              </w:rPr>
            </w:pPr>
            <w:r w:rsidRPr="0080560C">
              <w:rPr>
                <w:rFonts w:eastAsia="Times New Roman" w:cs="Times New Roman"/>
                <w:kern w:val="0"/>
                <w:sz w:val="24"/>
                <w:szCs w:val="24"/>
                <w14:ligatures w14:val="none"/>
              </w:rPr>
              <w:t>Thông tư liên tịch </w:t>
            </w:r>
            <w:hyperlink r:id="rId14" w:tgtFrame="_blank" w:history="1">
              <w:r w:rsidRPr="0080560C">
                <w:rPr>
                  <w:rFonts w:eastAsia="Times New Roman" w:cs="Times New Roman"/>
                  <w:color w:val="337AB7"/>
                  <w:kern w:val="0"/>
                  <w:sz w:val="24"/>
                  <w:szCs w:val="24"/>
                  <w:u w:val="single"/>
                  <w14:ligatures w14:val="none"/>
                </w:rPr>
                <w:t>02/2016/TTLT-TANDTC-VKSNDTC</w:t>
              </w:r>
            </w:hyperlink>
          </w:p>
        </w:tc>
        <w:tc>
          <w:tcPr>
            <w:tcW w:w="5535" w:type="dxa"/>
            <w:tcBorders>
              <w:top w:val="outset" w:sz="6" w:space="0" w:color="auto"/>
              <w:left w:val="outset" w:sz="6" w:space="0" w:color="auto"/>
              <w:bottom w:val="outset" w:sz="6" w:space="0" w:color="auto"/>
              <w:right w:val="outset" w:sz="6" w:space="0" w:color="auto"/>
            </w:tcBorders>
            <w:vAlign w:val="center"/>
            <w:hideMark/>
          </w:tcPr>
          <w:p w14:paraId="2F9E9893" w14:textId="77777777" w:rsidR="0080560C" w:rsidRPr="0080560C" w:rsidRDefault="0080560C" w:rsidP="0080560C">
            <w:pPr>
              <w:spacing w:after="150" w:line="240" w:lineRule="auto"/>
              <w:jc w:val="left"/>
              <w:rPr>
                <w:rFonts w:eastAsia="Times New Roman" w:cs="Times New Roman"/>
                <w:kern w:val="0"/>
                <w:sz w:val="24"/>
                <w:szCs w:val="24"/>
                <w14:ligatures w14:val="none"/>
              </w:rPr>
            </w:pPr>
            <w:r w:rsidRPr="0080560C">
              <w:rPr>
                <w:rFonts w:eastAsia="Times New Roman" w:cs="Times New Roman"/>
                <w:kern w:val="0"/>
                <w:sz w:val="24"/>
                <w:szCs w:val="24"/>
                <w14:ligatures w14:val="none"/>
              </w:rPr>
              <w:t>Quy định việc phối hợp giữa Viện kiểm sát nhân dân và Tòa án nhân dân trong việc thi hành quy định của Bộ luật tố tụng dân sự</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2500DC6" w14:textId="77777777" w:rsidR="0080560C" w:rsidRPr="0080560C" w:rsidRDefault="0080560C" w:rsidP="0080560C">
            <w:pPr>
              <w:spacing w:after="150" w:line="240" w:lineRule="auto"/>
              <w:jc w:val="center"/>
              <w:rPr>
                <w:rFonts w:eastAsia="Times New Roman" w:cs="Times New Roman"/>
                <w:kern w:val="0"/>
                <w:sz w:val="24"/>
                <w:szCs w:val="24"/>
                <w14:ligatures w14:val="none"/>
              </w:rPr>
            </w:pPr>
            <w:r w:rsidRPr="0080560C">
              <w:rPr>
                <w:rFonts w:eastAsia="Times New Roman" w:cs="Times New Roman"/>
                <w:kern w:val="0"/>
                <w:sz w:val="24"/>
                <w:szCs w:val="24"/>
                <w14:ligatures w14:val="none"/>
              </w:rPr>
              <w:t>18/10/2016</w:t>
            </w:r>
          </w:p>
        </w:tc>
      </w:tr>
      <w:tr w:rsidR="0080560C" w:rsidRPr="0080560C" w14:paraId="285F2EEC" w14:textId="77777777" w:rsidTr="0080560C">
        <w:tc>
          <w:tcPr>
            <w:tcW w:w="1980" w:type="dxa"/>
            <w:tcBorders>
              <w:top w:val="outset" w:sz="6" w:space="0" w:color="auto"/>
              <w:left w:val="outset" w:sz="6" w:space="0" w:color="auto"/>
              <w:bottom w:val="outset" w:sz="6" w:space="0" w:color="auto"/>
              <w:right w:val="outset" w:sz="6" w:space="0" w:color="auto"/>
            </w:tcBorders>
            <w:vAlign w:val="center"/>
            <w:hideMark/>
          </w:tcPr>
          <w:p w14:paraId="5C87DB5B" w14:textId="77777777" w:rsidR="0080560C" w:rsidRPr="0080560C" w:rsidRDefault="0080560C" w:rsidP="0080560C">
            <w:pPr>
              <w:spacing w:after="150" w:line="240" w:lineRule="auto"/>
              <w:jc w:val="left"/>
              <w:rPr>
                <w:rFonts w:eastAsia="Times New Roman" w:cs="Times New Roman"/>
                <w:kern w:val="0"/>
                <w:sz w:val="24"/>
                <w:szCs w:val="24"/>
                <w14:ligatures w14:val="none"/>
              </w:rPr>
            </w:pPr>
            <w:r w:rsidRPr="0080560C">
              <w:rPr>
                <w:rFonts w:eastAsia="Times New Roman" w:cs="Times New Roman"/>
                <w:kern w:val="0"/>
                <w:sz w:val="24"/>
                <w:szCs w:val="24"/>
                <w14:ligatures w14:val="none"/>
              </w:rPr>
              <w:t>Nghị quyết </w:t>
            </w:r>
            <w:hyperlink r:id="rId15" w:tgtFrame="_blank" w:history="1">
              <w:r w:rsidRPr="0080560C">
                <w:rPr>
                  <w:rFonts w:eastAsia="Times New Roman" w:cs="Times New Roman"/>
                  <w:color w:val="337AB7"/>
                  <w:kern w:val="0"/>
                  <w:sz w:val="24"/>
                  <w:szCs w:val="24"/>
                  <w:u w:val="single"/>
                  <w14:ligatures w14:val="none"/>
                </w:rPr>
                <w:t>103/2015/QH13</w:t>
              </w:r>
            </w:hyperlink>
          </w:p>
        </w:tc>
        <w:tc>
          <w:tcPr>
            <w:tcW w:w="5535" w:type="dxa"/>
            <w:tcBorders>
              <w:top w:val="outset" w:sz="6" w:space="0" w:color="auto"/>
              <w:left w:val="outset" w:sz="6" w:space="0" w:color="auto"/>
              <w:bottom w:val="outset" w:sz="6" w:space="0" w:color="auto"/>
              <w:right w:val="outset" w:sz="6" w:space="0" w:color="auto"/>
            </w:tcBorders>
            <w:vAlign w:val="center"/>
            <w:hideMark/>
          </w:tcPr>
          <w:p w14:paraId="62F71AA8" w14:textId="77777777" w:rsidR="0080560C" w:rsidRPr="0080560C" w:rsidRDefault="0080560C" w:rsidP="0080560C">
            <w:pPr>
              <w:spacing w:after="150" w:line="240" w:lineRule="auto"/>
              <w:jc w:val="left"/>
              <w:rPr>
                <w:rFonts w:eastAsia="Times New Roman" w:cs="Times New Roman"/>
                <w:kern w:val="0"/>
                <w:sz w:val="24"/>
                <w:szCs w:val="24"/>
                <w14:ligatures w14:val="none"/>
              </w:rPr>
            </w:pPr>
            <w:r w:rsidRPr="0080560C">
              <w:rPr>
                <w:rFonts w:eastAsia="Times New Roman" w:cs="Times New Roman"/>
                <w:kern w:val="0"/>
                <w:sz w:val="24"/>
                <w:szCs w:val="24"/>
                <w14:ligatures w14:val="none"/>
              </w:rPr>
              <w:t>Về thi hành Bộ luật tố tụng dân sự do Quốc hội ban hành</w:t>
            </w:r>
          </w:p>
        </w:tc>
        <w:tc>
          <w:tcPr>
            <w:tcW w:w="1845" w:type="dxa"/>
            <w:tcBorders>
              <w:top w:val="outset" w:sz="6" w:space="0" w:color="auto"/>
              <w:left w:val="outset" w:sz="6" w:space="0" w:color="auto"/>
              <w:bottom w:val="outset" w:sz="6" w:space="0" w:color="auto"/>
              <w:right w:val="outset" w:sz="6" w:space="0" w:color="auto"/>
            </w:tcBorders>
            <w:vAlign w:val="center"/>
            <w:hideMark/>
          </w:tcPr>
          <w:p w14:paraId="3CC68EC0" w14:textId="77777777" w:rsidR="0080560C" w:rsidRPr="0080560C" w:rsidRDefault="0080560C" w:rsidP="0080560C">
            <w:pPr>
              <w:spacing w:after="150" w:line="240" w:lineRule="auto"/>
              <w:jc w:val="center"/>
              <w:rPr>
                <w:rFonts w:eastAsia="Times New Roman" w:cs="Times New Roman"/>
                <w:kern w:val="0"/>
                <w:sz w:val="24"/>
                <w:szCs w:val="24"/>
                <w14:ligatures w14:val="none"/>
              </w:rPr>
            </w:pPr>
            <w:r w:rsidRPr="0080560C">
              <w:rPr>
                <w:rFonts w:eastAsia="Times New Roman" w:cs="Times New Roman"/>
                <w:kern w:val="0"/>
                <w:sz w:val="24"/>
                <w:szCs w:val="24"/>
                <w14:ligatures w14:val="none"/>
              </w:rPr>
              <w:t>25/11/2015</w:t>
            </w:r>
          </w:p>
        </w:tc>
      </w:tr>
    </w:tbl>
    <w:p w14:paraId="7E0DF05E" w14:textId="77777777" w:rsidR="0099247F" w:rsidRPr="00314833" w:rsidRDefault="0099247F" w:rsidP="00314833"/>
    <w:sectPr w:rsidR="0099247F" w:rsidRPr="00314833" w:rsidSect="00415FDF">
      <w:type w:val="continuous"/>
      <w:pgSz w:w="11910" w:h="16840"/>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21D45"/>
    <w:multiLevelType w:val="multilevel"/>
    <w:tmpl w:val="1FCA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B47D5D"/>
    <w:multiLevelType w:val="multilevel"/>
    <w:tmpl w:val="49F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54175C"/>
    <w:multiLevelType w:val="multilevel"/>
    <w:tmpl w:val="8ECA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625291">
    <w:abstractNumId w:val="0"/>
  </w:num>
  <w:num w:numId="2" w16cid:durableId="612980818">
    <w:abstractNumId w:val="1"/>
  </w:num>
  <w:num w:numId="3" w16cid:durableId="24983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3C"/>
    <w:rsid w:val="000A042A"/>
    <w:rsid w:val="001E38E4"/>
    <w:rsid w:val="00257FDE"/>
    <w:rsid w:val="00295640"/>
    <w:rsid w:val="00314833"/>
    <w:rsid w:val="00415FDF"/>
    <w:rsid w:val="00576F7F"/>
    <w:rsid w:val="005864EA"/>
    <w:rsid w:val="0080560C"/>
    <w:rsid w:val="008B2AD0"/>
    <w:rsid w:val="0099247F"/>
    <w:rsid w:val="009A292C"/>
    <w:rsid w:val="009D104C"/>
    <w:rsid w:val="009D131B"/>
    <w:rsid w:val="00A00647"/>
    <w:rsid w:val="00A72CB5"/>
    <w:rsid w:val="00AE76F6"/>
    <w:rsid w:val="00B50D3D"/>
    <w:rsid w:val="00BB4922"/>
    <w:rsid w:val="00C61EB0"/>
    <w:rsid w:val="00CA493C"/>
    <w:rsid w:val="00CE7CDC"/>
    <w:rsid w:val="00E22BE3"/>
    <w:rsid w:val="00E37B45"/>
    <w:rsid w:val="00E41A7D"/>
    <w:rsid w:val="00E64C60"/>
    <w:rsid w:val="00ED3ED0"/>
    <w:rsid w:val="00F23541"/>
    <w:rsid w:val="00F952EB"/>
    <w:rsid w:val="00FA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83DF6-2AFF-42E0-BA67-F914968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7D"/>
    <w:rPr>
      <w:rFonts w:ascii="Times New Roman" w:hAnsi="Times New Roman"/>
    </w:rPr>
  </w:style>
  <w:style w:type="paragraph" w:styleId="Heading1">
    <w:name w:val="heading 1"/>
    <w:basedOn w:val="Normal"/>
    <w:link w:val="Heading1Char"/>
    <w:uiPriority w:val="9"/>
    <w:qFormat/>
    <w:rsid w:val="00E41A7D"/>
    <w:pPr>
      <w:spacing w:before="47"/>
      <w:ind w:left="2556"/>
      <w:outlineLvl w:val="0"/>
    </w:pPr>
    <w:rPr>
      <w:rFonts w:eastAsia="Times New Roman" w:cs="Times New Roman"/>
      <w:b/>
      <w:bCs/>
      <w:sz w:val="28"/>
      <w:szCs w:val="28"/>
    </w:rPr>
  </w:style>
  <w:style w:type="paragraph" w:styleId="Heading2">
    <w:name w:val="heading 2"/>
    <w:basedOn w:val="Normal"/>
    <w:link w:val="Heading2Char"/>
    <w:uiPriority w:val="9"/>
    <w:unhideWhenUsed/>
    <w:qFormat/>
    <w:rsid w:val="00E41A7D"/>
    <w:pPr>
      <w:spacing w:before="10"/>
      <w:ind w:left="100" w:firstLine="720"/>
      <w:outlineLvl w:val="1"/>
    </w:pPr>
    <w:rPr>
      <w:rFonts w:eastAsia="Times New Roman" w:cs="Times New Roman"/>
      <w:b/>
      <w:bCs/>
      <w:sz w:val="26"/>
      <w:szCs w:val="26"/>
    </w:rPr>
  </w:style>
  <w:style w:type="paragraph" w:styleId="Heading3">
    <w:name w:val="heading 3"/>
    <w:basedOn w:val="Normal"/>
    <w:link w:val="Heading3Char"/>
    <w:uiPriority w:val="9"/>
    <w:unhideWhenUsed/>
    <w:qFormat/>
    <w:rsid w:val="00E41A7D"/>
    <w:pPr>
      <w:spacing w:before="8"/>
      <w:ind w:left="820" w:hanging="437"/>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1A7D"/>
    <w:rPr>
      <w:rFonts w:eastAsia="Times New Roman" w:cs="Times New Roman"/>
    </w:rPr>
  </w:style>
  <w:style w:type="character" w:customStyle="1" w:styleId="Heading1Char">
    <w:name w:val="Heading 1 Char"/>
    <w:basedOn w:val="DefaultParagraphFont"/>
    <w:link w:val="Heading1"/>
    <w:uiPriority w:val="9"/>
    <w:rsid w:val="00E41A7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41A7D"/>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E41A7D"/>
    <w:rPr>
      <w:rFonts w:ascii="Times New Roman" w:eastAsia="Times New Roman" w:hAnsi="Times New Roman" w:cs="Times New Roman"/>
      <w:b/>
      <w:bCs/>
      <w:i/>
      <w:sz w:val="26"/>
      <w:szCs w:val="26"/>
    </w:rPr>
  </w:style>
  <w:style w:type="paragraph" w:styleId="BodyText">
    <w:name w:val="Body Text"/>
    <w:basedOn w:val="Normal"/>
    <w:link w:val="BodyTextChar"/>
    <w:uiPriority w:val="1"/>
    <w:qFormat/>
    <w:rsid w:val="00E41A7D"/>
    <w:pPr>
      <w:ind w:left="100" w:firstLine="720"/>
    </w:pPr>
    <w:rPr>
      <w:rFonts w:eastAsia="Times New Roman" w:cs="Times New Roman"/>
      <w:sz w:val="26"/>
      <w:szCs w:val="26"/>
    </w:rPr>
  </w:style>
  <w:style w:type="character" w:customStyle="1" w:styleId="BodyTextChar">
    <w:name w:val="Body Text Char"/>
    <w:basedOn w:val="DefaultParagraphFont"/>
    <w:link w:val="BodyText"/>
    <w:uiPriority w:val="1"/>
    <w:rsid w:val="00E41A7D"/>
    <w:rPr>
      <w:rFonts w:ascii="Times New Roman" w:eastAsia="Times New Roman" w:hAnsi="Times New Roman" w:cs="Times New Roman"/>
      <w:sz w:val="26"/>
      <w:szCs w:val="26"/>
    </w:rPr>
  </w:style>
  <w:style w:type="paragraph" w:styleId="ListParagraph">
    <w:name w:val="List Paragraph"/>
    <w:basedOn w:val="Normal"/>
    <w:uiPriority w:val="1"/>
    <w:qFormat/>
    <w:rsid w:val="00E41A7D"/>
    <w:pPr>
      <w:ind w:left="100" w:firstLine="720"/>
    </w:pPr>
    <w:rPr>
      <w:rFonts w:eastAsia="Times New Roman" w:cs="Times New Roman"/>
    </w:rPr>
  </w:style>
  <w:style w:type="paragraph" w:customStyle="1" w:styleId="msonormal0">
    <w:name w:val="msonormal"/>
    <w:basedOn w:val="Normal"/>
    <w:rsid w:val="009D104C"/>
    <w:pPr>
      <w:spacing w:before="100" w:beforeAutospacing="1" w:after="100" w:afterAutospacing="1" w:line="240" w:lineRule="auto"/>
      <w:jc w:val="left"/>
    </w:pPr>
    <w:rPr>
      <w:rFonts w:eastAsia="Times New Roman" w:cs="Times New Roman"/>
      <w:kern w:val="0"/>
      <w:sz w:val="24"/>
      <w:szCs w:val="24"/>
      <w14:ligatures w14:val="none"/>
    </w:rPr>
  </w:style>
  <w:style w:type="paragraph" w:styleId="NormalWeb">
    <w:name w:val="Normal (Web)"/>
    <w:basedOn w:val="Normal"/>
    <w:uiPriority w:val="99"/>
    <w:semiHidden/>
    <w:unhideWhenUsed/>
    <w:rsid w:val="009D104C"/>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9D104C"/>
    <w:rPr>
      <w:color w:val="0000FF"/>
      <w:u w:val="single"/>
    </w:rPr>
  </w:style>
  <w:style w:type="character" w:styleId="FollowedHyperlink">
    <w:name w:val="FollowedHyperlink"/>
    <w:basedOn w:val="DefaultParagraphFont"/>
    <w:uiPriority w:val="99"/>
    <w:semiHidden/>
    <w:unhideWhenUsed/>
    <w:rsid w:val="009D104C"/>
    <w:rPr>
      <w:color w:val="800080"/>
      <w:u w:val="single"/>
    </w:rPr>
  </w:style>
  <w:style w:type="character" w:styleId="Strong">
    <w:name w:val="Strong"/>
    <w:basedOn w:val="DefaultParagraphFont"/>
    <w:uiPriority w:val="22"/>
    <w:qFormat/>
    <w:rsid w:val="00AE76F6"/>
    <w:rPr>
      <w:b/>
      <w:bCs/>
    </w:rPr>
  </w:style>
  <w:style w:type="paragraph" w:customStyle="1" w:styleId="toclevel-1">
    <w:name w:val="toclevel-1"/>
    <w:basedOn w:val="Normal"/>
    <w:rsid w:val="00AE76F6"/>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toctext">
    <w:name w:val="toctext"/>
    <w:basedOn w:val="DefaultParagraphFont"/>
    <w:rsid w:val="00AE76F6"/>
  </w:style>
  <w:style w:type="character" w:styleId="Emphasis">
    <w:name w:val="Emphasis"/>
    <w:basedOn w:val="DefaultParagraphFont"/>
    <w:uiPriority w:val="20"/>
    <w:qFormat/>
    <w:rsid w:val="00AE76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962">
      <w:bodyDiv w:val="1"/>
      <w:marLeft w:val="0"/>
      <w:marRight w:val="0"/>
      <w:marTop w:val="0"/>
      <w:marBottom w:val="0"/>
      <w:divBdr>
        <w:top w:val="none" w:sz="0" w:space="0" w:color="auto"/>
        <w:left w:val="none" w:sz="0" w:space="0" w:color="auto"/>
        <w:bottom w:val="none" w:sz="0" w:space="0" w:color="auto"/>
        <w:right w:val="none" w:sz="0" w:space="0" w:color="auto"/>
      </w:divBdr>
      <w:divsChild>
        <w:div w:id="20131235">
          <w:marLeft w:val="0"/>
          <w:marRight w:val="0"/>
          <w:marTop w:val="0"/>
          <w:marBottom w:val="0"/>
          <w:divBdr>
            <w:top w:val="none" w:sz="0" w:space="0" w:color="auto"/>
            <w:left w:val="none" w:sz="0" w:space="0" w:color="auto"/>
            <w:bottom w:val="none" w:sz="0" w:space="0" w:color="auto"/>
            <w:right w:val="none" w:sz="0" w:space="0" w:color="auto"/>
          </w:divBdr>
          <w:divsChild>
            <w:div w:id="990133589">
              <w:marLeft w:val="0"/>
              <w:marRight w:val="0"/>
              <w:marTop w:val="0"/>
              <w:marBottom w:val="0"/>
              <w:divBdr>
                <w:top w:val="none" w:sz="0" w:space="0" w:color="auto"/>
                <w:left w:val="none" w:sz="0" w:space="0" w:color="auto"/>
                <w:bottom w:val="none" w:sz="0" w:space="0" w:color="auto"/>
                <w:right w:val="none" w:sz="0" w:space="0" w:color="auto"/>
              </w:divBdr>
            </w:div>
          </w:divsChild>
        </w:div>
        <w:div w:id="1438401150">
          <w:marLeft w:val="0"/>
          <w:marRight w:val="0"/>
          <w:marTop w:val="0"/>
          <w:marBottom w:val="0"/>
          <w:divBdr>
            <w:top w:val="none" w:sz="0" w:space="0" w:color="auto"/>
            <w:left w:val="none" w:sz="0" w:space="0" w:color="auto"/>
            <w:bottom w:val="none" w:sz="0" w:space="0" w:color="auto"/>
            <w:right w:val="none" w:sz="0" w:space="0" w:color="auto"/>
          </w:divBdr>
          <w:divsChild>
            <w:div w:id="15532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98727">
      <w:bodyDiv w:val="1"/>
      <w:marLeft w:val="0"/>
      <w:marRight w:val="0"/>
      <w:marTop w:val="0"/>
      <w:marBottom w:val="0"/>
      <w:divBdr>
        <w:top w:val="none" w:sz="0" w:space="0" w:color="auto"/>
        <w:left w:val="none" w:sz="0" w:space="0" w:color="auto"/>
        <w:bottom w:val="none" w:sz="0" w:space="0" w:color="auto"/>
        <w:right w:val="none" w:sz="0" w:space="0" w:color="auto"/>
      </w:divBdr>
      <w:divsChild>
        <w:div w:id="1543253617">
          <w:marLeft w:val="0"/>
          <w:marRight w:val="0"/>
          <w:marTop w:val="0"/>
          <w:marBottom w:val="0"/>
          <w:divBdr>
            <w:top w:val="none" w:sz="0" w:space="0" w:color="auto"/>
            <w:left w:val="none" w:sz="0" w:space="0" w:color="auto"/>
            <w:bottom w:val="none" w:sz="0" w:space="0" w:color="auto"/>
            <w:right w:val="none" w:sz="0" w:space="0" w:color="auto"/>
          </w:divBdr>
          <w:divsChild>
            <w:div w:id="560336906">
              <w:marLeft w:val="0"/>
              <w:marRight w:val="0"/>
              <w:marTop w:val="0"/>
              <w:marBottom w:val="0"/>
              <w:divBdr>
                <w:top w:val="none" w:sz="0" w:space="0" w:color="auto"/>
                <w:left w:val="none" w:sz="0" w:space="0" w:color="auto"/>
                <w:bottom w:val="none" w:sz="0" w:space="0" w:color="auto"/>
                <w:right w:val="none" w:sz="0" w:space="0" w:color="auto"/>
              </w:divBdr>
            </w:div>
          </w:divsChild>
        </w:div>
        <w:div w:id="305594878">
          <w:marLeft w:val="0"/>
          <w:marRight w:val="0"/>
          <w:marTop w:val="150"/>
          <w:marBottom w:val="150"/>
          <w:divBdr>
            <w:top w:val="none" w:sz="0" w:space="0" w:color="auto"/>
            <w:left w:val="none" w:sz="0" w:space="0" w:color="auto"/>
            <w:bottom w:val="none" w:sz="0" w:space="0" w:color="auto"/>
            <w:right w:val="none" w:sz="0" w:space="0" w:color="auto"/>
          </w:divBdr>
          <w:divsChild>
            <w:div w:id="445973558">
              <w:marLeft w:val="0"/>
              <w:marRight w:val="0"/>
              <w:marTop w:val="0"/>
              <w:marBottom w:val="180"/>
              <w:divBdr>
                <w:top w:val="none" w:sz="0" w:space="0" w:color="auto"/>
                <w:left w:val="none" w:sz="0" w:space="0" w:color="auto"/>
                <w:bottom w:val="none" w:sz="0" w:space="0" w:color="auto"/>
                <w:right w:val="none" w:sz="0" w:space="0" w:color="auto"/>
              </w:divBdr>
              <w:divsChild>
                <w:div w:id="183090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7868019">
          <w:marLeft w:val="0"/>
          <w:marRight w:val="0"/>
          <w:marTop w:val="0"/>
          <w:marBottom w:val="0"/>
          <w:divBdr>
            <w:top w:val="none" w:sz="0" w:space="0" w:color="auto"/>
            <w:left w:val="none" w:sz="0" w:space="0" w:color="auto"/>
            <w:bottom w:val="none" w:sz="0" w:space="0" w:color="auto"/>
            <w:right w:val="none" w:sz="0" w:space="0" w:color="auto"/>
          </w:divBdr>
          <w:divsChild>
            <w:div w:id="118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cong-van/Tien-te-Ngan-hang/Cong-van-152-TANDTC-PC-2017-giai-quyet-tranh-chap-hop-dong-tin-dung-xu-ly-no-xau-355718.aspx" TargetMode="External"/><Relationship Id="rId13" Type="http://schemas.openxmlformats.org/officeDocument/2006/relationships/hyperlink" Target="https://thuvienphapluat.vn/van-ban/Thu-tuc-To-tung/Luat-to-tung-hanh-chinh-2015-298372.aspx" TargetMode="External"/><Relationship Id="rId3" Type="http://schemas.openxmlformats.org/officeDocument/2006/relationships/settings" Target="settings.xml"/><Relationship Id="rId7" Type="http://schemas.openxmlformats.org/officeDocument/2006/relationships/hyperlink" Target="https://thuvienphapluat.vn/cong-van/Thu-tuc-To-tung/Cong-van-55-TANDTC-PC-2018-tieu-chi-xac-dinh-vu-viec-hoa-giai-thanh-doi-thoai-thanh-377396.aspx" TargetMode="External"/><Relationship Id="rId12" Type="http://schemas.openxmlformats.org/officeDocument/2006/relationships/hyperlink" Target="https://thuvienphapluat.vn/van-ban/Thu-tuc-To-tung/Bo-luat-to-tung-dan-su-2015-296861.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Thu-tuc-To-tung/Nghi-quyet-02-2020-NQ-HDTP-ap-dung-bien-phap-khan-cap-tam-thoi-cua-Bo-luat-To-tung-dan-su-457919.aspx" TargetMode="External"/><Relationship Id="rId11" Type="http://schemas.openxmlformats.org/officeDocument/2006/relationships/hyperlink" Target="https://thuvienphapluat.vn/van-ban/Thu-tuc-To-tung/Nghi-quyet-04-2016-NQ-HDTP-huong-dan-gui-nhan-don-khoi-kien-thong-bao-van-ban-to-tung-336982.aspx" TargetMode="External"/><Relationship Id="rId5" Type="http://schemas.openxmlformats.org/officeDocument/2006/relationships/image" Target="media/image1.png"/><Relationship Id="rId15" Type="http://schemas.openxmlformats.org/officeDocument/2006/relationships/hyperlink" Target="https://thuvienphapluat.vn/van-ban/Thu-tuc-To-tung/Nghi-quyet-103-2015-QH13-thi-hanh-Bo-luat-to-tung-dan-su-298383.aspx" TargetMode="External"/><Relationship Id="rId10" Type="http://schemas.openxmlformats.org/officeDocument/2006/relationships/hyperlink" Target="https://thuvienphapluat.vn/van-ban/Thu-tuc-To-tung/Bo-luat-to-tung-dan-su-2015-296861.aspx" TargetMode="External"/><Relationship Id="rId4" Type="http://schemas.openxmlformats.org/officeDocument/2006/relationships/webSettings" Target="webSettings.xml"/><Relationship Id="rId9" Type="http://schemas.openxmlformats.org/officeDocument/2006/relationships/hyperlink" Target="https://thuvienphapluat.vn/van-ban/Thu-tuc-To-tung/Nghi-quyet-04-2017-NQ-HDTP-huong-dan-tra-lai-don-khoi-kien-quyen-nop-don-khoi-kien-lai-vu-an-318438.aspx" TargetMode="External"/><Relationship Id="rId14" Type="http://schemas.openxmlformats.org/officeDocument/2006/relationships/hyperlink" Target="https://thuvienphapluat.vn/van-ban/Thu-tuc-To-tung/Thong-tu-02-2016-TTLT-TANDTC-VKSNDTC-phoi-hop-Vien-kiem-sat-Toa-an-thi-hanh-Bo-luat-to-tung-dan-su-32469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dc:creator>
  <cp:keywords/>
  <dc:description/>
  <cp:lastModifiedBy>le hoa</cp:lastModifiedBy>
  <cp:revision>2</cp:revision>
  <dcterms:created xsi:type="dcterms:W3CDTF">2023-04-24T13:15:00Z</dcterms:created>
  <dcterms:modified xsi:type="dcterms:W3CDTF">2023-04-24T13:15:00Z</dcterms:modified>
</cp:coreProperties>
</file>